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中宋" w:hAnsi="华文中宋" w:eastAsia="华文中宋" w:cs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上海市发展改革研究院</w:t>
      </w:r>
    </w:p>
    <w:p>
      <w:pPr>
        <w:spacing w:line="360" w:lineRule="auto"/>
        <w:jc w:val="center"/>
        <w:outlineLvl w:val="0"/>
        <w:rPr>
          <w:rFonts w:hint="eastAsia" w:ascii="华文中宋" w:hAnsi="华文中宋" w:eastAsia="华文中宋" w:cs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华文中宋" w:hAnsi="华文中宋" w:eastAsia="华文中宋" w:cs="华文中宋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华文中宋" w:hAnsi="华文中宋" w:eastAsia="华文中宋" w:cs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年博士后工作站招生简章</w:t>
      </w:r>
    </w:p>
    <w:p>
      <w:pPr>
        <w:spacing w:line="360" w:lineRule="auto"/>
        <w:ind w:firstLine="567" w:firstLineChars="189"/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7" w:firstLineChars="189"/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7" w:firstLineChars="189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上海市发展改革研究院</w:t>
      </w:r>
      <w:r>
        <w:rPr>
          <w:rFonts w:hint="eastAsia" w:ascii="仿宋_GB2312" w:hAnsi="仿宋_GB2312" w:eastAsia="仿宋_GB2312" w:cs="仿宋_GB2312"/>
          <w:sz w:val="30"/>
          <w:szCs w:val="30"/>
        </w:rPr>
        <w:t>隶属于上海市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人民政府，归口</w:t>
      </w:r>
      <w:r>
        <w:rPr>
          <w:rFonts w:hint="eastAsia" w:ascii="仿宋_GB2312" w:hAnsi="仿宋_GB2312" w:eastAsia="仿宋_GB2312" w:cs="仿宋_GB2312"/>
          <w:sz w:val="30"/>
          <w:szCs w:val="30"/>
        </w:rPr>
        <w:t>上海市发展和改革委员会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0"/>
          <w:szCs w:val="30"/>
        </w:rPr>
        <w:t>，是一家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科学研究类副局级事业单位且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入选首批上海市重点智库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围绕“出一流研究成果、培养一流研究人才、创建一流研究院”的目标，上海市发展改革研究院致力于打造特色鲜明、服务上海改革开放创新的高端决策咨询机构。2018年10月，经国家人力资源和社会保障部批准（[2018]127号函），上海市发展改革研究院正式设立博士后科研工作站。根据国家相关规定以及研究工作需要，上海市发展改革研究院博士后工作站和复旦大学、上海交通大学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同济大学、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华东师范大学等高校相关博士后流动站联合招收博士后，合作培养高水平决策咨询研究人才。现面向海内外公开招收202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年度博士后研究人员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名，热忱欢迎您的加入。</w:t>
      </w:r>
    </w:p>
    <w:p>
      <w:pPr>
        <w:spacing w:line="360" w:lineRule="auto"/>
        <w:ind w:firstLine="569" w:firstLineChars="189"/>
        <w:rPr>
          <w:rFonts w:hint="default" w:ascii="Times New Roman" w:hAnsi="Times New Roman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一、博士后研究方向</w:t>
      </w:r>
    </w:p>
    <w:p>
      <w:pPr>
        <w:spacing w:line="360" w:lineRule="auto"/>
        <w:ind w:firstLine="567" w:firstLineChars="18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1、上海中长期经济发展潜力与动力机制研究</w:t>
      </w:r>
    </w:p>
    <w:p>
      <w:pPr>
        <w:spacing w:line="360" w:lineRule="auto"/>
        <w:ind w:firstLine="567" w:firstLineChars="18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2、上海加快构建现代化产业体系的目标、思路与发展路径研究</w:t>
      </w:r>
    </w:p>
    <w:p>
      <w:pPr>
        <w:spacing w:line="360" w:lineRule="auto"/>
        <w:ind w:firstLine="567" w:firstLineChars="18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3、教育、科技、人才一体化发展推进上海国际科创中心建设的目标、思路和路径研究</w:t>
      </w:r>
    </w:p>
    <w:p>
      <w:pPr>
        <w:spacing w:line="360" w:lineRule="auto"/>
        <w:ind w:firstLine="567" w:firstLineChars="18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4、提升上海航运资源全球配置能力研究</w:t>
      </w:r>
    </w:p>
    <w:p>
      <w:pPr>
        <w:spacing w:line="360" w:lineRule="auto"/>
        <w:ind w:firstLine="567" w:firstLineChars="18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5、上海城市更新发展模式与政策机制研究</w:t>
      </w:r>
    </w:p>
    <w:p>
      <w:pPr>
        <w:spacing w:line="360" w:lineRule="auto"/>
        <w:ind w:firstLine="567" w:firstLineChars="18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6、优化金融供给，有效提升金融服务实体经济能力研究</w:t>
      </w:r>
    </w:p>
    <w:p>
      <w:pPr>
        <w:spacing w:line="360" w:lineRule="auto"/>
        <w:ind w:firstLine="567" w:firstLineChars="18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7、长三角科技创新与产业创新跨区域协同机制研究</w:t>
      </w:r>
    </w:p>
    <w:p>
      <w:pPr>
        <w:spacing w:line="360" w:lineRule="auto"/>
        <w:ind w:firstLine="567" w:firstLineChars="189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8、自选题</w:t>
      </w:r>
    </w:p>
    <w:p>
      <w:pPr>
        <w:spacing w:line="360" w:lineRule="auto"/>
        <w:ind w:firstLine="569" w:firstLineChars="189"/>
        <w:outlineLvl w:val="0"/>
        <w:rPr>
          <w:rFonts w:hint="default" w:ascii="Times New Roman" w:hAnsi="Times New Roman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二、博士后招生条件</w:t>
      </w:r>
    </w:p>
    <w:p>
      <w:pPr>
        <w:widowControl/>
        <w:spacing w:line="360" w:lineRule="auto"/>
        <w:ind w:firstLine="567" w:firstLineChars="189"/>
        <w:jc w:val="lef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1.具有良好的政治素质和道德修养，无违法违纪等不良记录；</w:t>
      </w:r>
    </w:p>
    <w:p>
      <w:pPr>
        <w:widowControl/>
        <w:spacing w:line="360" w:lineRule="auto"/>
        <w:ind w:firstLine="567" w:firstLineChars="189"/>
        <w:jc w:val="lef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2.在国内外已获得博士学位，或半年内即将获得博士学位的应届博士研究生；</w:t>
      </w:r>
    </w:p>
    <w:p>
      <w:pPr>
        <w:widowControl/>
        <w:spacing w:line="360" w:lineRule="auto"/>
        <w:ind w:firstLine="567" w:firstLineChars="189"/>
        <w:jc w:val="lef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3.具有扎实的理论基础和较强的决策咨询研究能力,有相关研究工作经验者优先考虑；</w:t>
      </w:r>
    </w:p>
    <w:p>
      <w:pPr>
        <w:widowControl/>
        <w:spacing w:line="360" w:lineRule="auto"/>
        <w:ind w:firstLine="567" w:firstLineChars="189"/>
        <w:jc w:val="lef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4.年龄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一般在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35周岁以下，身体健康；</w:t>
      </w:r>
    </w:p>
    <w:p>
      <w:pPr>
        <w:widowControl/>
        <w:spacing w:line="360" w:lineRule="auto"/>
        <w:ind w:firstLine="567" w:firstLineChars="189"/>
        <w:jc w:val="lef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5.有本学科领域内两名正高级职称专家的书面推荐。</w:t>
      </w:r>
    </w:p>
    <w:p>
      <w:pPr>
        <w:spacing w:line="360" w:lineRule="auto"/>
        <w:ind w:firstLine="569" w:firstLineChars="189"/>
        <w:outlineLvl w:val="0"/>
        <w:rPr>
          <w:rFonts w:hint="default" w:ascii="Times New Roman" w:hAnsi="Times New Roman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三、相关待遇</w:t>
      </w:r>
    </w:p>
    <w:p>
      <w:pPr>
        <w:widowControl/>
        <w:spacing w:line="360" w:lineRule="auto"/>
        <w:ind w:firstLine="567" w:firstLineChars="189"/>
        <w:jc w:val="lef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博士后人员在站期间的工资和福利待遇，按国家、上海市有关规定及市</w:t>
      </w:r>
      <w:bookmarkStart w:id="0" w:name="_GoBack"/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发改院</w:t>
      </w:r>
      <w:bookmarkEnd w:id="0"/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相关管理制度执行。详情请咨询市发改院博士后工作站办公室。</w:t>
      </w:r>
    </w:p>
    <w:p>
      <w:pPr>
        <w:widowControl/>
        <w:spacing w:line="360" w:lineRule="auto"/>
        <w:ind w:firstLine="569" w:firstLineChars="189"/>
        <w:jc w:val="left"/>
        <w:outlineLvl w:val="0"/>
        <w:rPr>
          <w:rFonts w:hint="default" w:ascii="Times New Roman" w:hAnsi="Times New Roman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四、报名要求</w:t>
      </w:r>
    </w:p>
    <w:p>
      <w:pPr>
        <w:widowControl/>
        <w:spacing w:line="360" w:lineRule="auto"/>
        <w:ind w:firstLine="567" w:firstLineChars="189"/>
        <w:jc w:val="lef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凡有意愿来本站做博士后研究的人员，请提交以下申请材料：</w:t>
      </w:r>
    </w:p>
    <w:p>
      <w:pPr>
        <w:widowControl/>
        <w:spacing w:line="360" w:lineRule="auto"/>
        <w:ind w:firstLine="567" w:firstLineChars="189"/>
        <w:jc w:val="lef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.《博士后申请表》（附近期1寸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免冠照片2张），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中国博士后网（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instrText xml:space="preserve"> HYPERLINK "http://www.chinapostdoctor.org.cn" </w:instrTex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www.chinapostdoctor.org.cn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）注册登录，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进入系统后点击上方“进出站业务”一栏，填报个人信息，完成后自动生成表格，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下载表格后再提交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pacing w:line="360" w:lineRule="auto"/>
        <w:ind w:firstLine="567" w:firstLineChars="189"/>
        <w:jc w:val="lef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2.个人简历（含学历、工作经历、主要研究成果目录等）；</w:t>
      </w:r>
    </w:p>
    <w:p>
      <w:pPr>
        <w:widowControl/>
        <w:spacing w:line="360" w:lineRule="auto"/>
        <w:ind w:firstLine="567" w:firstLineChars="189"/>
        <w:jc w:val="lef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3.身份证复印件或具有同等效力的证件，户口证明； </w:t>
      </w:r>
    </w:p>
    <w:p>
      <w:pPr>
        <w:widowControl/>
        <w:spacing w:line="360" w:lineRule="auto"/>
        <w:ind w:firstLine="567" w:firstLineChars="189"/>
        <w:jc w:val="lef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4.博士研究生毕业证书和博士学位证书复印件，没有取得证书的需要提供通过博士论文答辩的有关证明材料（要求博士后进站后半年内能拿到《博士学位证书》）；</w:t>
      </w:r>
    </w:p>
    <w:p>
      <w:pPr>
        <w:widowControl/>
        <w:spacing w:line="360" w:lineRule="auto"/>
        <w:ind w:firstLine="567" w:firstLineChars="189"/>
        <w:jc w:val="left"/>
        <w:outlineLvl w:val="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5.博士论文及两篇代表性研究成果；</w:t>
      </w:r>
    </w:p>
    <w:p>
      <w:pPr>
        <w:widowControl/>
        <w:spacing w:line="360" w:lineRule="auto"/>
        <w:ind w:firstLine="567" w:firstLineChars="189"/>
        <w:jc w:val="lef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6.拟报研究方向的研究计划任务书（4000字左右）；</w:t>
      </w:r>
    </w:p>
    <w:p>
      <w:pPr>
        <w:widowControl/>
        <w:spacing w:line="360" w:lineRule="auto"/>
        <w:ind w:firstLine="567" w:firstLineChars="189"/>
        <w:jc w:val="left"/>
        <w:outlineLvl w:val="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7.相近学科两名正高级专家推荐信；</w:t>
      </w:r>
    </w:p>
    <w:p>
      <w:pPr>
        <w:widowControl/>
        <w:spacing w:line="360" w:lineRule="auto"/>
        <w:ind w:firstLine="567" w:firstLineChars="189"/>
        <w:jc w:val="lef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8.在职人员从事博士后研究的，需提供在职单位的同意脱产进站证明；</w:t>
      </w:r>
    </w:p>
    <w:p>
      <w:pPr>
        <w:widowControl/>
        <w:spacing w:line="360" w:lineRule="auto"/>
        <w:ind w:firstLine="567" w:firstLineChars="189"/>
        <w:jc w:val="lef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9.人事档案所在单位出具的关于申请人政治思想表现、学术水平、科研能力等情况的综合鉴定材料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pacing w:line="360" w:lineRule="auto"/>
        <w:ind w:firstLine="567" w:firstLineChars="189"/>
        <w:jc w:val="lef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10.其他相关材料。</w:t>
      </w:r>
    </w:p>
    <w:p>
      <w:pPr>
        <w:widowControl/>
        <w:spacing w:line="360" w:lineRule="auto"/>
        <w:ind w:firstLine="567" w:firstLineChars="189"/>
        <w:jc w:val="lef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t>有意者请于202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15日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t>前将上述材料通过Email发送至bshgzz@fgw.shanghai.gov.cn，同时将与电子材料相一致的纸质材料（一式五份）邮寄至市发改院博士后工作站办公室，我站将及时处理您的应聘申请，并履行保密义务，纸质材料恕不退还。</w:t>
      </w:r>
    </w:p>
    <w:p>
      <w:pPr>
        <w:widowControl/>
        <w:spacing w:line="360" w:lineRule="auto"/>
        <w:ind w:firstLine="567" w:firstLineChars="189"/>
        <w:jc w:val="lef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567" w:firstLineChars="189"/>
        <w:jc w:val="lef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569" w:firstLineChars="189"/>
        <w:jc w:val="left"/>
        <w:rPr>
          <w:rFonts w:hint="default" w:ascii="Times New Roman" w:hAnsi="Times New Roman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五、招聘流程和联系方式</w:t>
      </w:r>
    </w:p>
    <w:p>
      <w:pPr>
        <w:widowControl/>
        <w:spacing w:line="360" w:lineRule="auto"/>
        <w:ind w:firstLine="567" w:firstLineChars="189"/>
        <w:jc w:val="lef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站将秉持“公开、公平、公正”原则择优录取博士后研究人员，对申请者提交的材料先进行初步审核，并统一组织专家对初审合格者进行面试，根据面试结果和体检、政审情况择优录取。具体面试时间另行通知。</w:t>
      </w:r>
    </w:p>
    <w:p>
      <w:pPr>
        <w:widowControl/>
        <w:spacing w:line="360" w:lineRule="auto"/>
        <w:ind w:firstLine="567" w:firstLineChars="189"/>
        <w:jc w:val="lef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联系人：石彬</w:t>
      </w:r>
    </w:p>
    <w:p>
      <w:pPr>
        <w:widowControl/>
        <w:spacing w:line="360" w:lineRule="auto"/>
        <w:ind w:firstLine="567" w:firstLineChars="189"/>
        <w:jc w:val="left"/>
        <w:rPr>
          <w:rFonts w:hint="default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电话：021-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33675195</w:t>
      </w:r>
    </w:p>
    <w:p>
      <w:pPr>
        <w:widowControl/>
        <w:spacing w:line="360" w:lineRule="auto"/>
        <w:ind w:firstLine="567" w:firstLineChars="189"/>
        <w:jc w:val="left"/>
        <w:rPr>
          <w:rFonts w:hint="default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传真：021-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33675223</w:t>
      </w:r>
    </w:p>
    <w:p>
      <w:pPr>
        <w:widowControl/>
        <w:spacing w:line="360" w:lineRule="auto"/>
        <w:ind w:firstLine="567" w:firstLineChars="189"/>
        <w:jc w:val="lef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电子邮箱：bshgzz@fgw.shanghai.gov.cn </w:t>
      </w:r>
    </w:p>
    <w:p>
      <w:pPr>
        <w:widowControl/>
        <w:spacing w:line="360" w:lineRule="auto"/>
        <w:ind w:firstLine="567" w:firstLineChars="189"/>
        <w:jc w:val="lef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邮政编码：20003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widowControl/>
        <w:spacing w:line="360" w:lineRule="auto"/>
        <w:ind w:firstLine="567" w:firstLineChars="189"/>
        <w:jc w:val="left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邮寄地址：上海市武康路103号甲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楼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203室</w:t>
      </w:r>
    </w:p>
    <w:p>
      <w:pPr>
        <w:widowControl/>
        <w:spacing w:line="360" w:lineRule="auto"/>
        <w:ind w:firstLine="567" w:firstLineChars="189"/>
        <w:jc w:val="left"/>
        <w:rPr>
          <w:rFonts w:hint="default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567" w:firstLineChars="189"/>
        <w:jc w:val="left"/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>上海市发展改革研究院简介</w:t>
      </w:r>
    </w:p>
    <w:p>
      <w:p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经上海市委市政府批准，</w:t>
      </w:r>
      <w:r>
        <w:rPr>
          <w:rFonts w:hint="eastAsia" w:ascii="仿宋_GB2312" w:hAnsi="仿宋_GB2312" w:eastAsia="仿宋_GB2312" w:cs="仿宋_GB2312"/>
          <w:sz w:val="30"/>
          <w:szCs w:val="30"/>
        </w:rPr>
        <w:t>上海市发展改革研究院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（Shanghai Academy of Development and Reform，网址:www.shadr.org.cn）</w:t>
      </w:r>
      <w:r>
        <w:rPr>
          <w:rFonts w:hint="eastAsia" w:ascii="仿宋_GB2312" w:hAnsi="仿宋_GB2312" w:eastAsia="仿宋_GB2312" w:cs="仿宋_GB2312"/>
          <w:sz w:val="30"/>
          <w:szCs w:val="30"/>
        </w:rPr>
        <w:t>于2007年12月21日正式挂牌成立。上海市发展改革研究院隶属于上海市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人民政府，归口</w:t>
      </w:r>
      <w:r>
        <w:rPr>
          <w:rFonts w:hint="eastAsia" w:ascii="仿宋_GB2312" w:hAnsi="仿宋_GB2312" w:eastAsia="仿宋_GB2312" w:cs="仿宋_GB2312"/>
          <w:sz w:val="30"/>
          <w:szCs w:val="30"/>
        </w:rPr>
        <w:t>上海市发展和改革委员会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0"/>
          <w:szCs w:val="30"/>
        </w:rPr>
        <w:t>，是一家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科学研究类副局级事业单位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2018年经国家人社部批准设立博士后研究工作站。2020年入选首批上海市重点智库。</w:t>
      </w:r>
      <w:r>
        <w:rPr>
          <w:rFonts w:hint="eastAsia" w:ascii="仿宋_GB2312" w:hAnsi="仿宋_GB2312" w:eastAsia="仿宋_GB2312" w:cs="仿宋_GB2312"/>
          <w:sz w:val="30"/>
          <w:szCs w:val="30"/>
        </w:rPr>
        <w:t>目前，上海市发展改革研究院包括经济研究所、改革创新研究所、市场与价格研究所、社会发展研究所、城乡区域发展研究所、金融房地产研究所、能源环境研究所和长三角一体化发展研究中心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及文化研究中心</w:t>
      </w:r>
      <w:r>
        <w:rPr>
          <w:rFonts w:hint="eastAsia" w:ascii="仿宋_GB2312" w:hAnsi="仿宋_GB2312" w:eastAsia="仿宋_GB2312" w:cs="仿宋_GB2312"/>
          <w:sz w:val="30"/>
          <w:szCs w:val="30"/>
        </w:rPr>
        <w:t>等部门，编制为1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0人。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上海市发展改革研究院始终坚持服务政府决策、建设政府智库的职能定位，主要面向政府开展决策咨询服务。重点围绕市委市政府确定的中心任务，以及全市经济社会发展和改革领域的战略性、全局性、政策性问题开展研究。</w:t>
      </w:r>
    </w:p>
    <w:p>
      <w:pPr>
        <w:ind w:firstLine="60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围绕“出一流研究成果、培养一流研究人才、创建一流研究院”的建院目标,研究院主动承担国家、市委市政府以及市发展改革委等有关部门的政府决策咨询研究项目,屡获国家发展改革委、上海市、市发展改革委决策咨询奖项;扩大对外合作交流,与高校研究机构建立了广泛科研合作关系;积极打造《送阅件》《上海综合经济》简报和杂志、《环球经济视点追踪》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和《前沿科技和新兴产业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瞭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望》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等科研产品，努力为上海改革开放建真言、创新发展献良策。建院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来,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市发改院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累计完成课题总数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多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项,近95%是政府类课题、超过80%属于服务市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委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市政府课题。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市发改院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获得国家领导、市委市政府领导批示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120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余次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获得各类奖项14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余项。</w:t>
      </w:r>
    </w:p>
    <w:p>
      <w:pPr>
        <w:widowControl/>
        <w:spacing w:line="360" w:lineRule="auto"/>
        <w:ind w:firstLine="567" w:firstLineChars="189"/>
        <w:jc w:val="both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展望未来，在新时代的伟大征程中，我们将秉承“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聚人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、赋能、成事、悟道”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建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理念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，坚持唯实求真、研以致用、人才为先，不断提升咨询决策服务的能力和水平，努力建设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出一流研究成果、培养一流研究人才、创建一流研究院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的一流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新型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智库，为上海当好新时代全国改革开放排头兵、创新发展先行者贡献智慧和力量。</w:t>
      </w:r>
    </w:p>
    <w:p>
      <w:pPr>
        <w:widowControl/>
        <w:spacing w:line="360" w:lineRule="auto"/>
        <w:ind w:firstLine="567" w:firstLineChars="189"/>
        <w:jc w:val="both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567" w:firstLineChars="189"/>
        <w:jc w:val="both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505324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iZDJiYTYyYTRhMmMzYjdlODVjZTUxMDcyNTAxZjkifQ=="/>
    <w:docVar w:name="KSO_WPS_MARK_KEY" w:val="2b9248c1-83fa-4e4f-b40b-8f211403ccdf"/>
  </w:docVars>
  <w:rsids>
    <w:rsidRoot w:val="00B5781D"/>
    <w:rsid w:val="0001565D"/>
    <w:rsid w:val="00033CAC"/>
    <w:rsid w:val="000930F0"/>
    <w:rsid w:val="00095EDA"/>
    <w:rsid w:val="000A7E5F"/>
    <w:rsid w:val="000C393D"/>
    <w:rsid w:val="000F16ED"/>
    <w:rsid w:val="00104F3E"/>
    <w:rsid w:val="00114A48"/>
    <w:rsid w:val="00146B45"/>
    <w:rsid w:val="00154B72"/>
    <w:rsid w:val="00175F42"/>
    <w:rsid w:val="0018007E"/>
    <w:rsid w:val="0019169E"/>
    <w:rsid w:val="001A57CC"/>
    <w:rsid w:val="001D0E84"/>
    <w:rsid w:val="001F115D"/>
    <w:rsid w:val="00240C26"/>
    <w:rsid w:val="00241DE0"/>
    <w:rsid w:val="002569CC"/>
    <w:rsid w:val="00273977"/>
    <w:rsid w:val="002F65DD"/>
    <w:rsid w:val="003074DD"/>
    <w:rsid w:val="00325681"/>
    <w:rsid w:val="00333C0F"/>
    <w:rsid w:val="003709D1"/>
    <w:rsid w:val="003815F5"/>
    <w:rsid w:val="003D466A"/>
    <w:rsid w:val="003D6F28"/>
    <w:rsid w:val="00425E00"/>
    <w:rsid w:val="00461162"/>
    <w:rsid w:val="00461C35"/>
    <w:rsid w:val="00477056"/>
    <w:rsid w:val="00497D94"/>
    <w:rsid w:val="00497FC2"/>
    <w:rsid w:val="004C3891"/>
    <w:rsid w:val="00522EC0"/>
    <w:rsid w:val="005261CE"/>
    <w:rsid w:val="00563530"/>
    <w:rsid w:val="00566E0A"/>
    <w:rsid w:val="00590DA9"/>
    <w:rsid w:val="005D1D2F"/>
    <w:rsid w:val="005D2005"/>
    <w:rsid w:val="005D591F"/>
    <w:rsid w:val="00607533"/>
    <w:rsid w:val="00642203"/>
    <w:rsid w:val="00643903"/>
    <w:rsid w:val="00664E14"/>
    <w:rsid w:val="00680AB8"/>
    <w:rsid w:val="006A1D83"/>
    <w:rsid w:val="006A4F00"/>
    <w:rsid w:val="006B6E8E"/>
    <w:rsid w:val="006C3A64"/>
    <w:rsid w:val="006C65C4"/>
    <w:rsid w:val="006D35DE"/>
    <w:rsid w:val="00714830"/>
    <w:rsid w:val="007A4DF5"/>
    <w:rsid w:val="007D0F10"/>
    <w:rsid w:val="007D16AC"/>
    <w:rsid w:val="007F5751"/>
    <w:rsid w:val="00834CFF"/>
    <w:rsid w:val="00854AF9"/>
    <w:rsid w:val="00861036"/>
    <w:rsid w:val="008661FD"/>
    <w:rsid w:val="008905C5"/>
    <w:rsid w:val="008B0882"/>
    <w:rsid w:val="008C5985"/>
    <w:rsid w:val="00903775"/>
    <w:rsid w:val="00911D5D"/>
    <w:rsid w:val="00915623"/>
    <w:rsid w:val="009315FB"/>
    <w:rsid w:val="00964C5F"/>
    <w:rsid w:val="00976CAE"/>
    <w:rsid w:val="00982F97"/>
    <w:rsid w:val="009D6E6B"/>
    <w:rsid w:val="009E3CAF"/>
    <w:rsid w:val="009E661B"/>
    <w:rsid w:val="009E7AF9"/>
    <w:rsid w:val="00A06C3A"/>
    <w:rsid w:val="00A074A8"/>
    <w:rsid w:val="00A13C19"/>
    <w:rsid w:val="00A145F0"/>
    <w:rsid w:val="00A42B75"/>
    <w:rsid w:val="00A63380"/>
    <w:rsid w:val="00A757DD"/>
    <w:rsid w:val="00A82B73"/>
    <w:rsid w:val="00A90DA5"/>
    <w:rsid w:val="00AD2969"/>
    <w:rsid w:val="00B231D2"/>
    <w:rsid w:val="00B35062"/>
    <w:rsid w:val="00B36C15"/>
    <w:rsid w:val="00B5781D"/>
    <w:rsid w:val="00B6088F"/>
    <w:rsid w:val="00B8182E"/>
    <w:rsid w:val="00B819DE"/>
    <w:rsid w:val="00BC18EF"/>
    <w:rsid w:val="00C15B11"/>
    <w:rsid w:val="00C36D3C"/>
    <w:rsid w:val="00C50CA3"/>
    <w:rsid w:val="00C65E0A"/>
    <w:rsid w:val="00C800B0"/>
    <w:rsid w:val="00C9523D"/>
    <w:rsid w:val="00C95E0B"/>
    <w:rsid w:val="00C96E07"/>
    <w:rsid w:val="00CC40B1"/>
    <w:rsid w:val="00CC64BC"/>
    <w:rsid w:val="00D020B1"/>
    <w:rsid w:val="00D040CA"/>
    <w:rsid w:val="00D146AB"/>
    <w:rsid w:val="00D25118"/>
    <w:rsid w:val="00D33265"/>
    <w:rsid w:val="00D85AB1"/>
    <w:rsid w:val="00DB6A20"/>
    <w:rsid w:val="00DC6C6D"/>
    <w:rsid w:val="00DE2DDD"/>
    <w:rsid w:val="00E37C8D"/>
    <w:rsid w:val="00E6777C"/>
    <w:rsid w:val="00E70AB2"/>
    <w:rsid w:val="00EA36DB"/>
    <w:rsid w:val="00EA3FC5"/>
    <w:rsid w:val="00EA4CA5"/>
    <w:rsid w:val="00F052CE"/>
    <w:rsid w:val="00F216AE"/>
    <w:rsid w:val="00F5335D"/>
    <w:rsid w:val="00F62285"/>
    <w:rsid w:val="00F637BB"/>
    <w:rsid w:val="00FA6B8C"/>
    <w:rsid w:val="00FB090E"/>
    <w:rsid w:val="00FD193A"/>
    <w:rsid w:val="00FF0450"/>
    <w:rsid w:val="011554FA"/>
    <w:rsid w:val="0139794C"/>
    <w:rsid w:val="01CA3F1A"/>
    <w:rsid w:val="02073C84"/>
    <w:rsid w:val="032D1B5D"/>
    <w:rsid w:val="08E2552F"/>
    <w:rsid w:val="095715E7"/>
    <w:rsid w:val="0C9B6BA3"/>
    <w:rsid w:val="0F0615C2"/>
    <w:rsid w:val="166B1ADA"/>
    <w:rsid w:val="184A3DE9"/>
    <w:rsid w:val="1CE90D2B"/>
    <w:rsid w:val="225457B0"/>
    <w:rsid w:val="257F7C94"/>
    <w:rsid w:val="27A20655"/>
    <w:rsid w:val="28570259"/>
    <w:rsid w:val="286B63B7"/>
    <w:rsid w:val="295D3AF0"/>
    <w:rsid w:val="2A2E46A9"/>
    <w:rsid w:val="2C0C5C73"/>
    <w:rsid w:val="2D305799"/>
    <w:rsid w:val="2E0C25AF"/>
    <w:rsid w:val="2EE77317"/>
    <w:rsid w:val="30D52325"/>
    <w:rsid w:val="334A48CC"/>
    <w:rsid w:val="3489015A"/>
    <w:rsid w:val="34B16E20"/>
    <w:rsid w:val="34BC3B12"/>
    <w:rsid w:val="353354B7"/>
    <w:rsid w:val="37E37FE0"/>
    <w:rsid w:val="3CB23984"/>
    <w:rsid w:val="3E072FDB"/>
    <w:rsid w:val="3E4348F3"/>
    <w:rsid w:val="41670AB7"/>
    <w:rsid w:val="420D3DE8"/>
    <w:rsid w:val="45B979DA"/>
    <w:rsid w:val="45CE0A7E"/>
    <w:rsid w:val="46D51E1C"/>
    <w:rsid w:val="479857CF"/>
    <w:rsid w:val="491975EA"/>
    <w:rsid w:val="4B1F47B6"/>
    <w:rsid w:val="4D2B3E1C"/>
    <w:rsid w:val="4D4656C8"/>
    <w:rsid w:val="504B578A"/>
    <w:rsid w:val="508443AD"/>
    <w:rsid w:val="536E3595"/>
    <w:rsid w:val="544764EE"/>
    <w:rsid w:val="55D62C00"/>
    <w:rsid w:val="574F2D61"/>
    <w:rsid w:val="5A8E4B42"/>
    <w:rsid w:val="5BB87A9E"/>
    <w:rsid w:val="61B03707"/>
    <w:rsid w:val="61C51C12"/>
    <w:rsid w:val="61E5070A"/>
    <w:rsid w:val="68BD6CBD"/>
    <w:rsid w:val="6D437DA3"/>
    <w:rsid w:val="6FB73482"/>
    <w:rsid w:val="705B716F"/>
    <w:rsid w:val="718418C7"/>
    <w:rsid w:val="76EC1C52"/>
    <w:rsid w:val="77B861D0"/>
    <w:rsid w:val="77EA78F6"/>
    <w:rsid w:val="7FB176BE"/>
    <w:rsid w:val="7FD13C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文档结构图 Char"/>
    <w:basedOn w:val="8"/>
    <w:link w:val="2"/>
    <w:autoRedefine/>
    <w:semiHidden/>
    <w:qFormat/>
    <w:uiPriority w:val="99"/>
    <w:rPr>
      <w:rFonts w:ascii="宋体" w:eastAsia="宋体"/>
      <w:sz w:val="18"/>
      <w:szCs w:val="18"/>
    </w:rPr>
  </w:style>
  <w:style w:type="character" w:customStyle="1" w:styleId="15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2097</Words>
  <Characters>2319</Characters>
  <Lines>15</Lines>
  <Paragraphs>4</Paragraphs>
  <TotalTime>54</TotalTime>
  <ScaleCrop>false</ScaleCrop>
  <LinksUpToDate>false</LinksUpToDate>
  <CharactersWithSpaces>2326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2020-06-11T06:58:00Z</dcterms:created>
  <dc:creator>HP</dc:creator>
  <cp:lastModifiedBy>黄晓芬</cp:lastModifiedBy>
  <cp:lastPrinted>2024-05-16T02:47:16Z</cp:lastPrinted>
  <dcterms:modified xsi:type="dcterms:W3CDTF">2024-05-16T03:41:33Z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26103E463F3048B989632B01962F36D2_13</vt:lpwstr>
  </property>
</Properties>
</file>